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4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835"/>
        <w:gridCol w:w="1984"/>
        <w:gridCol w:w="4428"/>
        <w:gridCol w:w="3129"/>
      </w:tblGrid>
      <w:tr w:rsidR="00B529F1" w:rsidRPr="00485781" w14:paraId="038FF452" w14:textId="77777777" w:rsidTr="00485781">
        <w:trPr>
          <w:trHeight w:val="310"/>
        </w:trPr>
        <w:tc>
          <w:tcPr>
            <w:tcW w:w="151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D410AA" w14:textId="77777777" w:rsidR="00B529F1" w:rsidRPr="00485781" w:rsidRDefault="00B529F1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CONTROLADORIA  GERAL DO MUNICÍPIO DE NITERÓI</w:t>
            </w:r>
          </w:p>
        </w:tc>
      </w:tr>
      <w:tr w:rsidR="00B529F1" w:rsidRPr="00485781" w14:paraId="48E073FE" w14:textId="77777777" w:rsidTr="00485781">
        <w:trPr>
          <w:trHeight w:val="310"/>
        </w:trPr>
        <w:tc>
          <w:tcPr>
            <w:tcW w:w="15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CA7DC" w14:textId="77777777" w:rsidR="00B529F1" w:rsidRPr="00770C40" w:rsidRDefault="00770C4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0C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MATRIZ DE PLANEJAMENTO</w:t>
            </w:r>
          </w:p>
        </w:tc>
      </w:tr>
      <w:tr w:rsidR="00B529F1" w:rsidRPr="00485781" w14:paraId="488113C6" w14:textId="77777777" w:rsidTr="00485781">
        <w:trPr>
          <w:trHeight w:val="1449"/>
        </w:trPr>
        <w:tc>
          <w:tcPr>
            <w:tcW w:w="15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3C416E29" w14:textId="5ED6CC81" w:rsidR="00B529F1" w:rsidRDefault="00C61472" w:rsidP="00B52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EIXO</w:t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AUDITORIA: </w:t>
            </w:r>
            <w:r w:rsidR="008963F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TESOURARIA</w:t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 xml:space="preserve">ÓRGÃO/ENTIDADE: </w:t>
            </w:r>
            <w:r w:rsidR="008963F1" w:rsidRPr="008963F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COMPANHIA MUNICIPAL DE LIMPEZA URBANA DE NITERÓI - CLIN</w:t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 xml:space="preserve">EXERCÍCIO: </w:t>
            </w:r>
            <w:r w:rsidR="00D36D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2021</w:t>
            </w:r>
          </w:p>
          <w:p w14:paraId="72B1BDF5" w14:textId="77777777" w:rsidR="003B5D4D" w:rsidRDefault="003B5D4D" w:rsidP="00B52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5CEC5A4" w14:textId="32753FDB" w:rsidR="003B5D4D" w:rsidRPr="00485781" w:rsidRDefault="003B5D4D" w:rsidP="003B5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176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STATUS DA AUDITORIA</w:t>
            </w:r>
            <w:r w:rsidR="006017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 (</w:t>
            </w:r>
            <w:r w:rsidR="00FF733E" w:rsidRPr="00FF733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X</w:t>
            </w:r>
            <w:r w:rsidR="006017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COMPARTILHADA</w:t>
            </w:r>
            <w:r w:rsidR="008963F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OU (   </w:t>
            </w:r>
            <w:r w:rsidR="006017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 NÃO COMPARTILHADA</w:t>
            </w:r>
          </w:p>
        </w:tc>
      </w:tr>
      <w:tr w:rsidR="00B529F1" w:rsidRPr="00485781" w14:paraId="2C2A30BA" w14:textId="77777777" w:rsidTr="00485781">
        <w:trPr>
          <w:trHeight w:val="597"/>
        </w:trPr>
        <w:tc>
          <w:tcPr>
            <w:tcW w:w="15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1AE05BB0" w14:textId="5CB93007" w:rsidR="00B529F1" w:rsidRPr="00485781" w:rsidRDefault="00267062" w:rsidP="000B18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Objetivo</w:t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="008963F1" w:rsidRPr="008963F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Verificar os controles das contas correntes e de aplicação financeira, as respectivas conciliações bancárias, a guarda de valores e recursos em tesouraria, e os mecanismos de transferência de informações à contabilidade</w:t>
            </w:r>
            <w:r w:rsidR="008963F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  <w:tr w:rsidR="002A0620" w:rsidRPr="00485781" w14:paraId="6573E219" w14:textId="77777777" w:rsidTr="00EA38FE">
        <w:trPr>
          <w:trHeight w:val="842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99C157A" w14:textId="77777777" w:rsidR="002A0620" w:rsidRPr="00485781" w:rsidRDefault="002A062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QUESTÃO DE AUDITORIA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3F0D538" w14:textId="77777777" w:rsidR="002A0620" w:rsidRPr="00485781" w:rsidRDefault="002A062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INFORMAÇÕES REQUERIDAS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9308E66" w14:textId="77777777" w:rsidR="002A0620" w:rsidRPr="00485781" w:rsidRDefault="002A062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FONTES DE INFORMAÇÃO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6D3BCB8" w14:textId="77777777" w:rsidR="002A0620" w:rsidRPr="00485781" w:rsidRDefault="002A062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DETALHAMENTO DO PROCEDIMENTO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03FB9446" w14:textId="77777777" w:rsidR="002A0620" w:rsidRPr="00485781" w:rsidRDefault="002A062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POSSÍVEIS ACHADOS</w:t>
            </w:r>
          </w:p>
        </w:tc>
      </w:tr>
      <w:tr w:rsidR="002A0620" w:rsidRPr="00485781" w14:paraId="546A0F7A" w14:textId="77777777" w:rsidTr="00EA38FE">
        <w:trPr>
          <w:trHeight w:val="1216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5BA6A" w14:textId="30B39BFA" w:rsidR="002A0620" w:rsidRPr="00485781" w:rsidRDefault="00977B64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Questão 1: </w:t>
            </w:r>
            <w:r w:rsidR="0044147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Existem pendências com relação às conciliações efetivadas pelo setor de Tesouraria?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2BA13C" w14:textId="25B22E59" w:rsidR="00725215" w:rsidRDefault="0044147F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414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Compatibilidade entre </w:t>
            </w:r>
            <w:r w:rsidR="00AA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 previsto no saldo do balancete e nos extratos bancários;</w:t>
            </w:r>
          </w:p>
          <w:p w14:paraId="69C04A2F" w14:textId="10EACB56" w:rsidR="00AA137C" w:rsidRDefault="00AA137C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1A87690D" w14:textId="1DBB28FF" w:rsidR="00AA137C" w:rsidRDefault="00AA137C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Última Prestação de Contas elaborada.</w:t>
            </w:r>
          </w:p>
          <w:p w14:paraId="6CD56E7C" w14:textId="77777777" w:rsidR="00725215" w:rsidRPr="00485781" w:rsidRDefault="00725215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73BF9A" w14:textId="77777777" w:rsidR="00D20175" w:rsidRDefault="00D20175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2FC7645" w14:textId="1A4CD428" w:rsidR="00C9718B" w:rsidRDefault="00C9718B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Entrevista(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s);</w:t>
            </w:r>
          </w:p>
          <w:p w14:paraId="3A520C35" w14:textId="77777777" w:rsidR="00C9718B" w:rsidRDefault="00C9718B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8D3F292" w14:textId="078E795F" w:rsidR="00AA137C" w:rsidRDefault="00AA137C" w:rsidP="00AA137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4A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Lançamentos obtidos </w:t>
            </w:r>
            <w:proofErr w:type="gramStart"/>
            <w:r w:rsidRPr="00B24A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 razão contábil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;</w:t>
            </w:r>
          </w:p>
          <w:p w14:paraId="640DE253" w14:textId="5BA6671D" w:rsidR="00AA137C" w:rsidRDefault="00AA137C" w:rsidP="00AA137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EAB50" w14:textId="50EE2EDE" w:rsidR="00AA137C" w:rsidRDefault="00AA137C" w:rsidP="00AA137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Extratos bancários;</w:t>
            </w:r>
          </w:p>
          <w:p w14:paraId="5C88E199" w14:textId="0A439A74" w:rsidR="00AA137C" w:rsidRDefault="00AA137C" w:rsidP="00AA137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E890EE2" w14:textId="2406B780" w:rsidR="00AA137C" w:rsidRDefault="00AA137C" w:rsidP="00AA137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Conciliações;</w:t>
            </w:r>
          </w:p>
          <w:p w14:paraId="30BA81EB" w14:textId="77777777" w:rsidR="00AA137C" w:rsidRDefault="00AA137C" w:rsidP="00AA137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74A4F7" w14:textId="560DA208" w:rsidR="00C9718B" w:rsidRDefault="00AA137C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Processo de prestação de contas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 responsável pela Tesouraria;</w:t>
            </w:r>
          </w:p>
          <w:p w14:paraId="51636029" w14:textId="6C6CD7D6" w:rsidR="00AA137C" w:rsidRDefault="00AA137C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6A12FDE" w14:textId="29AA838E" w:rsidR="00AA137C" w:rsidRDefault="00AA137C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Processo de Prestação de Contas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 gestor.</w:t>
            </w:r>
          </w:p>
          <w:p w14:paraId="47E97EE8" w14:textId="77777777" w:rsidR="00C9718B" w:rsidRPr="00485781" w:rsidRDefault="00C9718B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63B668B0" w14:textId="5CCB6467" w:rsidR="002A0620" w:rsidRDefault="00410367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Verificar</w:t>
            </w:r>
            <w:r w:rsidR="00F846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AA13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existência de pendências na tesouraria</w:t>
            </w:r>
            <w:r w:rsidR="00F846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  <w:p w14:paraId="67DB230B" w14:textId="77777777" w:rsidR="00410367" w:rsidRDefault="00410367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ECA3B11" w14:textId="398FE815" w:rsidR="00410367" w:rsidRPr="001B3CCA" w:rsidRDefault="00410367" w:rsidP="00AA137C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B3CC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Averiguar</w:t>
            </w:r>
            <w:r w:rsidR="00F846FB" w:rsidRPr="001B3CC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1B3CCA" w:rsidRPr="001B3CC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 o saldo verificado em balancete analítico está em consonância com o evidenciado em conciliação bancária</w:t>
            </w:r>
            <w:r w:rsidR="00AA137C" w:rsidRPr="001B3CC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</w:p>
          <w:p w14:paraId="03BF6C88" w14:textId="77777777" w:rsidR="00D86DD3" w:rsidRPr="001B3CCA" w:rsidRDefault="00D86DD3" w:rsidP="00AA137C">
            <w:pPr>
              <w:pStyle w:val="PargrafodaLista"/>
              <w:spacing w:after="0" w:line="240" w:lineRule="auto"/>
              <w:ind w:left="39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5CDC478B" w14:textId="0AD29086" w:rsidR="00D86DD3" w:rsidRPr="00D86DD3" w:rsidRDefault="00D86DD3" w:rsidP="001B3CCA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B3CC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Averiguar </w:t>
            </w:r>
            <w:r w:rsidR="001B3CCA" w:rsidRPr="001B3CC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pendências de conciliações demonstradas nas Prestações de Contas, conferindo data de regularização das mesmas</w:t>
            </w:r>
            <w:r w:rsidRPr="001B3CC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bottom"/>
          </w:tcPr>
          <w:p w14:paraId="09B18494" w14:textId="68C77278" w:rsidR="002A0620" w:rsidRPr="002C0AB2" w:rsidRDefault="00EA38FE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</w:t>
            </w:r>
            <w:r w:rsidR="002C0AB2" w:rsidRPr="002C0AB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1. </w:t>
            </w:r>
            <w:r w:rsidR="00671668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Distorção </w:t>
            </w:r>
            <w:r w:rsidR="00671668" w:rsidRPr="00671668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entre o apurado no saldo evidenciado pela conciliação e o constante em Balancete Analítico</w:t>
            </w:r>
            <w:r w:rsidR="00D86DD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</w:p>
          <w:p w14:paraId="7A37D683" w14:textId="77777777" w:rsidR="002C0AB2" w:rsidRPr="002C0AB2" w:rsidRDefault="002C0AB2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4B2D5AFF" w14:textId="3C1971A7" w:rsidR="002C0AB2" w:rsidRPr="002C0AB2" w:rsidRDefault="00EA38FE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</w:t>
            </w:r>
            <w:r w:rsidR="002C0AB2" w:rsidRPr="002C0AB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2. </w:t>
            </w:r>
            <w:r w:rsidR="00671668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Existência de pendências na conciliação das contas em análise</w:t>
            </w:r>
            <w:r w:rsidR="00C72831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</w:p>
          <w:p w14:paraId="2608C8C6" w14:textId="1F727DDB" w:rsidR="002C0AB2" w:rsidRDefault="002C0AB2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5B7D1A58" w14:textId="77777777" w:rsidR="00C72831" w:rsidRPr="002C0AB2" w:rsidRDefault="00C72831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3A0B0921" w14:textId="641060FE" w:rsidR="002C0AB2" w:rsidRPr="002C0AB2" w:rsidRDefault="002C0AB2" w:rsidP="00AA13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2A0620" w:rsidRPr="00485781" w14:paraId="700B52A9" w14:textId="77777777" w:rsidTr="00EA38FE">
        <w:trPr>
          <w:trHeight w:val="1995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E0A905" w14:textId="06D48B46" w:rsidR="00630AEF" w:rsidRPr="004802C6" w:rsidRDefault="00014EC8" w:rsidP="004802C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E5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Questão 2: </w:t>
            </w:r>
            <w:r w:rsidR="00EE5E93" w:rsidRPr="00EE5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Existe uma correta divisão de funções entre os servidores dos setores de contabilidade e tesouraria</w:t>
            </w:r>
            <w:r w:rsidR="00163825" w:rsidRPr="00EE5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C0D54B" w14:textId="0B06A8FB" w:rsidR="002A0620" w:rsidRPr="00485781" w:rsidRDefault="00EE5E93" w:rsidP="00EE5E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Informações dos responsáveis pela Tesouraria e outros responsáveis.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C38C17" w14:textId="569E58CA" w:rsidR="00D445CA" w:rsidRDefault="007C64D2" w:rsidP="00EE5E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C6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Entrevista(</w:t>
            </w:r>
            <w:proofErr w:type="gramEnd"/>
            <w:r w:rsidRPr="007C6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s);</w:t>
            </w:r>
          </w:p>
          <w:p w14:paraId="13C12CF4" w14:textId="77777777" w:rsidR="00EE5E93" w:rsidRDefault="00EE5E93" w:rsidP="00EE5E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4E23323" w14:textId="31EBDA75" w:rsidR="00B24A25" w:rsidRPr="00485781" w:rsidRDefault="00EE5E93" w:rsidP="00EE5E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Informações dos responsáveis em exercício na entidade, no ano de 2020</w:t>
            </w:r>
            <w:r w:rsidR="00B24A25" w:rsidRPr="00B24A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4D08508" w14:textId="5F754ED4" w:rsidR="002A0620" w:rsidRDefault="00163825" w:rsidP="00EE5E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Verificar </w:t>
            </w:r>
            <w:r w:rsidR="00EE5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 atendimento à segregação de funções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  <w:p w14:paraId="15A7D162" w14:textId="77777777" w:rsidR="00163825" w:rsidRDefault="00163825" w:rsidP="00EE5E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07013C13" w14:textId="08897831" w:rsidR="00EE5E93" w:rsidRPr="00163825" w:rsidRDefault="00F22114" w:rsidP="00EE5E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6382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2.1. </w:t>
            </w:r>
            <w:r w:rsidR="00EE5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Averiguar a ocorrência do cumprimento da segregação de funções na entidade.</w:t>
            </w:r>
          </w:p>
          <w:p w14:paraId="0FEA4670" w14:textId="325DFB13" w:rsidR="00F22114" w:rsidRPr="00163825" w:rsidRDefault="00F22114" w:rsidP="00F221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1667F4AF" w14:textId="77777777" w:rsidR="0065495E" w:rsidRDefault="0065495E" w:rsidP="00A322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4461CCB7" w14:textId="7EAECE01" w:rsidR="00A3227A" w:rsidRPr="00A3227A" w:rsidRDefault="00EA38FE" w:rsidP="00EE5E9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A3</w:t>
            </w:r>
            <w:r w:rsidR="00A3227A" w:rsidRPr="00A3227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. </w:t>
            </w:r>
            <w:r w:rsidR="00EE5E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Não ocorrência da segregação de funções.</w:t>
            </w:r>
          </w:p>
          <w:p w14:paraId="76F771E7" w14:textId="77777777" w:rsidR="00A3227A" w:rsidRPr="00A3227A" w:rsidRDefault="00A3227A" w:rsidP="00A322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0DD99A91" w14:textId="2B48F453" w:rsidR="00A3227A" w:rsidRPr="00A3227A" w:rsidRDefault="00A3227A" w:rsidP="00A322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EA38FE" w:rsidRPr="00485781" w14:paraId="4D60412E" w14:textId="77777777" w:rsidTr="00EA38FE">
        <w:trPr>
          <w:trHeight w:val="1995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6DF487" w14:textId="2C0D1249" w:rsidR="00EA38FE" w:rsidRPr="00EE5E93" w:rsidRDefault="00EA38FE" w:rsidP="00EA38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0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Questão 3: </w:t>
            </w:r>
            <w:r w:rsidRPr="004802C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Os processos de pagamento de pessoal/fornecedores/tributos estão em consonância com a Lei Federal nº 4.320?</w:t>
            </w:r>
            <w:r w:rsidRPr="00480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4AAB19" w14:textId="0C8352A3" w:rsidR="00EA38FE" w:rsidRDefault="00EA38FE" w:rsidP="00EA38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Comprovação de controle do fluxo das despesas.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060212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28A319F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Entrevista(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s);</w:t>
            </w:r>
          </w:p>
          <w:p w14:paraId="3A9E8CBC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6F89D865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Controle gerencial do fluxo de pagamento de despesas.</w:t>
            </w:r>
          </w:p>
          <w:p w14:paraId="163F7B34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1C662B92" w14:textId="77777777" w:rsidR="00EA38FE" w:rsidRPr="00485781" w:rsidRDefault="00EA38FE" w:rsidP="00EA38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9929F91" w14:textId="77777777" w:rsidR="00EA38FE" w:rsidRPr="007C64D2" w:rsidRDefault="00EA38FE" w:rsidP="00EA38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16A243ED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A14A44D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Comprovação das despesas</w:t>
            </w:r>
          </w:p>
          <w:p w14:paraId="34F00992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ABF995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 Verificar ausência de comprovante de despesa que tenha sido caracterizadora de débito no extrato bancário.</w:t>
            </w:r>
          </w:p>
          <w:p w14:paraId="1B92B747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8DD2DE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Execução da despesa liquidada depois do pagamento</w:t>
            </w:r>
          </w:p>
          <w:p w14:paraId="69DF71B4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19E52D" w14:textId="77777777" w:rsidR="00EA38FE" w:rsidRPr="007D6FF2" w:rsidRDefault="00EA38FE" w:rsidP="00EA38F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3.2.</w:t>
            </w:r>
            <w:r w:rsidRPr="007D6FF2">
              <w:rPr>
                <w:rFonts w:ascii="Arial" w:eastAsia="Arial" w:hAnsi="Arial" w:cs="Arial"/>
                <w:sz w:val="20"/>
                <w:szCs w:val="20"/>
              </w:rPr>
              <w:t xml:space="preserve"> Verificar se o pagamento da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7D6FF2">
              <w:rPr>
                <w:rFonts w:ascii="Arial" w:eastAsia="Arial" w:hAnsi="Arial" w:cs="Arial"/>
                <w:sz w:val="20"/>
                <w:szCs w:val="20"/>
              </w:rPr>
              <w:t xml:space="preserve"> despesas sucedeu sua regular liquidação em observância à Lei Federal nº 4.320.</w:t>
            </w:r>
          </w:p>
          <w:p w14:paraId="09007471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4879C092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DD76FC" w14:textId="25517CD8" w:rsidR="00EA38FE" w:rsidRDefault="00EA38FE" w:rsidP="00EA38F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A4. Pagamentos sem comprovantes de despesas.</w:t>
            </w:r>
          </w:p>
          <w:p w14:paraId="282A6223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03A238" w14:textId="1C3F176D" w:rsidR="00EA38FE" w:rsidRDefault="00EA38FE" w:rsidP="00EA38F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A5. Ocorrência de pagamento de despesa sem </w:t>
            </w:r>
            <w:r w:rsidR="007D2E0C">
              <w:rPr>
                <w:rFonts w:ascii="Arial" w:eastAsia="Arial" w:hAnsi="Arial" w:cs="Arial"/>
                <w:sz w:val="20"/>
                <w:szCs w:val="20"/>
              </w:rPr>
              <w:t>os devidos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D2E0C">
              <w:rPr>
                <w:rFonts w:ascii="Arial" w:eastAsia="Arial" w:hAnsi="Arial" w:cs="Arial"/>
                <w:sz w:val="20"/>
                <w:szCs w:val="20"/>
              </w:rPr>
              <w:t>atestes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717FC2C7" w14:textId="77777777" w:rsidR="00EA38FE" w:rsidRDefault="00EA38FE" w:rsidP="00EA38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EA38FE" w:rsidRPr="00485781" w14:paraId="773511DD" w14:textId="77777777" w:rsidTr="00EA38FE">
        <w:trPr>
          <w:trHeight w:val="699"/>
        </w:trPr>
        <w:tc>
          <w:tcPr>
            <w:tcW w:w="2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7D6F211D" w14:textId="159BE404" w:rsidR="00EA38FE" w:rsidRPr="00EA38FE" w:rsidRDefault="00EA38FE" w:rsidP="00EA38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t-BR"/>
              </w:rPr>
            </w:pPr>
            <w:r w:rsidRPr="00B25A61">
              <w:rPr>
                <w:rFonts w:ascii="Arial" w:eastAsia="Arial" w:hAnsi="Arial" w:cs="Arial"/>
                <w:b/>
                <w:sz w:val="20"/>
                <w:szCs w:val="20"/>
              </w:rPr>
              <w:t xml:space="preserve">Questão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Pr="00B25A61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Pr="00B25A61">
              <w:rPr>
                <w:rFonts w:ascii="Arial" w:eastAsia="Arial" w:hAnsi="Arial" w:cs="Arial"/>
                <w:sz w:val="20"/>
                <w:szCs w:val="20"/>
              </w:rPr>
              <w:t>A análise da prestação de contas é considerada efetiva?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09B556F5" w14:textId="77777777" w:rsidR="00EA38FE" w:rsidRDefault="00EA38FE" w:rsidP="00EA38FE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4BBE93" w14:textId="73972D64" w:rsidR="00EA38FE" w:rsidRDefault="00EA38FE" w:rsidP="00EA38FE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elaboração da prestação de contas.</w:t>
            </w:r>
          </w:p>
          <w:p w14:paraId="3CDAF328" w14:textId="77777777" w:rsidR="00EA38FE" w:rsidRDefault="00EA38FE" w:rsidP="00EA38FE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6AF12A2" w14:textId="77777777" w:rsidR="00EA38FE" w:rsidRDefault="00EA38FE" w:rsidP="00EA38FE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Informações gerenciais quanto aos aspectos técnicos e financeiros.</w:t>
            </w:r>
          </w:p>
          <w:p w14:paraId="756AA72B" w14:textId="77777777" w:rsidR="00EA38FE" w:rsidRDefault="00EA38FE" w:rsidP="00EA38FE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7FFF66" w14:textId="77777777" w:rsidR="00EA38FE" w:rsidRDefault="00EA38FE" w:rsidP="00EA38FE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Prestação de contas não finalizadas.</w:t>
            </w:r>
          </w:p>
          <w:p w14:paraId="2B566254" w14:textId="01353D1E" w:rsidR="00EA38FE" w:rsidRPr="00485781" w:rsidRDefault="00EA38FE" w:rsidP="00EA3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354A0464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072E0A1" w14:textId="4124A13A" w:rsidR="00EA38FE" w:rsidRPr="00485781" w:rsidRDefault="00EA38FE" w:rsidP="00EA38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Processo de prestação de contas do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responsável pela Tesouraria e/ou do </w:t>
            </w:r>
            <w:r w:rsidRPr="00EA38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Ordenador de Despesa da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entidade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vAlign w:val="center"/>
          </w:tcPr>
          <w:p w14:paraId="3BEB2E3F" w14:textId="77777777" w:rsidR="003258C6" w:rsidRDefault="003258C6" w:rsidP="00EA38FE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49FE79" w14:textId="65FD27C2" w:rsidR="00EA38FE" w:rsidRDefault="00EA38FE" w:rsidP="00EA38FE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Análise da adequação dos pareceres técnicos e financeiros</w:t>
            </w:r>
          </w:p>
          <w:p w14:paraId="75B413A3" w14:textId="77777777" w:rsidR="00EA38FE" w:rsidRDefault="00EA38FE" w:rsidP="00EA38FE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8625073" w14:textId="2BD8EEE4" w:rsidR="00EA38FE" w:rsidRDefault="00EA38FE" w:rsidP="00EA38FE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4.1. Verificar se as informações dos pareceres técnicos coadunam com as informações e elementos presentes no processo.</w:t>
            </w:r>
          </w:p>
          <w:p w14:paraId="0EB5058D" w14:textId="77777777" w:rsidR="00EA38FE" w:rsidRDefault="00EA38FE" w:rsidP="00EA38FE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A2A76C" w14:textId="654C152A" w:rsidR="00EA38FE" w:rsidRDefault="00EA38FE" w:rsidP="00EA38FE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4.2. Verificar ocorrência de não aprovação da prestação de contas e, caso não aprovadas, se foram cumpridas as determinações prévias à instauração de tomada de contas especial.</w:t>
            </w:r>
          </w:p>
          <w:p w14:paraId="0169A340" w14:textId="11D12DDD" w:rsidR="00EA38FE" w:rsidRPr="00AE02AD" w:rsidRDefault="00EA38FE" w:rsidP="00EA38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vAlign w:val="center"/>
          </w:tcPr>
          <w:p w14:paraId="3C3A3B04" w14:textId="77777777" w:rsidR="003258C6" w:rsidRDefault="003258C6" w:rsidP="00EA38FE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FDB2B9" w14:textId="4859E886" w:rsidR="00EA38FE" w:rsidRDefault="00EA38FE" w:rsidP="00EA38FE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A6. Inobservância do prazo estabelecido para aprovação ou não da prestação de contas.</w:t>
            </w:r>
          </w:p>
          <w:p w14:paraId="0ABE50E8" w14:textId="77777777" w:rsidR="00EA38FE" w:rsidRDefault="00EA38FE" w:rsidP="00EA38FE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3284C3" w14:textId="309D3C7E" w:rsidR="00EA38FE" w:rsidRDefault="00EA38FE" w:rsidP="003258C6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A7. Parecer técnico e/ou financeiro inconsistentes, </w:t>
            </w:r>
            <w:proofErr w:type="gramStart"/>
            <w:r w:rsidRPr="00A4778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pro forma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 incompatíveis com os elementos presentes no processo</w:t>
            </w:r>
            <w:r w:rsidR="003258C6">
              <w:rPr>
                <w:rFonts w:ascii="Arial" w:eastAsia="Arial" w:hAnsi="Arial" w:cs="Arial"/>
                <w:sz w:val="20"/>
                <w:szCs w:val="20"/>
              </w:rPr>
              <w:t xml:space="preserve"> de prestação de contas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71BF453" w14:textId="77777777" w:rsidR="00EA38FE" w:rsidRDefault="00EA38FE" w:rsidP="003258C6">
            <w:pPr>
              <w:pBdr>
                <w:bottom w:val="none" w:sz="0" w:space="6" w:color="auto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A87FA1" w14:textId="0E901048" w:rsidR="00EA38FE" w:rsidRPr="00AE02AD" w:rsidRDefault="003258C6" w:rsidP="003258C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A8</w:t>
            </w:r>
            <w:r w:rsidR="00EA38FE">
              <w:rPr>
                <w:rFonts w:ascii="Arial" w:eastAsia="Arial" w:hAnsi="Arial" w:cs="Arial"/>
                <w:sz w:val="20"/>
                <w:szCs w:val="20"/>
              </w:rPr>
              <w:t>. Não aprovação da prestação de contas e ausência de instauração de tomada de contas, após exaurimento das providências cabíveis.</w:t>
            </w:r>
          </w:p>
        </w:tc>
      </w:tr>
      <w:tr w:rsidR="00EA38FE" w:rsidRPr="00485781" w14:paraId="3238BBE6" w14:textId="77777777" w:rsidTr="00C5067C">
        <w:trPr>
          <w:trHeight w:val="291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21D8C1" w14:textId="5FD904F0" w:rsidR="00EA38FE" w:rsidRPr="004802C6" w:rsidRDefault="00EA38FE" w:rsidP="00EA38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8510EB" w14:textId="77777777" w:rsidR="00EA38FE" w:rsidRDefault="00EA38FE" w:rsidP="00EA38F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E6F909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38ECBD3D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6D24A772" w14:textId="77777777" w:rsidR="00EA38FE" w:rsidRDefault="00EA38FE" w:rsidP="00EA38F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C0FA892" w14:textId="0326D980" w:rsidR="00620821" w:rsidRDefault="00620821" w:rsidP="00354581">
      <w:pPr>
        <w:jc w:val="both"/>
        <w:rPr>
          <w:rFonts w:ascii="Arial" w:hAnsi="Arial" w:cs="Arial"/>
          <w:sz w:val="24"/>
        </w:rPr>
      </w:pPr>
    </w:p>
    <w:p w14:paraId="3DC8DEAE" w14:textId="77777777" w:rsidR="00AB6975" w:rsidRDefault="00AB6975" w:rsidP="00AB6975">
      <w:pPr>
        <w:jc w:val="both"/>
        <w:rPr>
          <w:rFonts w:ascii="Arial" w:hAnsi="Arial" w:cs="Arial"/>
          <w:sz w:val="24"/>
        </w:rPr>
      </w:pPr>
      <w:r w:rsidRPr="009628F7">
        <w:rPr>
          <w:rFonts w:ascii="Arial" w:hAnsi="Arial" w:cs="Arial"/>
          <w:sz w:val="24"/>
          <w:highlight w:val="yellow"/>
        </w:rPr>
        <w:t>RASCUNHO</w:t>
      </w:r>
    </w:p>
    <w:p w14:paraId="0E5525BE" w14:textId="2E1FA4DA" w:rsidR="00C511D1" w:rsidRPr="00485781" w:rsidRDefault="00B25013" w:rsidP="00354581">
      <w:pPr>
        <w:jc w:val="both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inline distT="0" distB="0" distL="0" distR="0" wp14:anchorId="6CEBB844" wp14:editId="7956E55C">
            <wp:extent cx="9600197" cy="2343150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2866" cy="234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1D1" w:rsidRPr="00485781" w:rsidSect="00C5067C">
      <w:headerReference w:type="default" r:id="rId9"/>
      <w:footerReference w:type="default" r:id="rId10"/>
      <w:pgSz w:w="16838" w:h="11906" w:orient="landscape"/>
      <w:pgMar w:top="1701" w:right="1417" w:bottom="1701" w:left="1417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86DD1" w14:textId="77777777" w:rsidR="004D3A49" w:rsidRDefault="004D3A49" w:rsidP="00B529F1">
      <w:pPr>
        <w:spacing w:after="0" w:line="240" w:lineRule="auto"/>
      </w:pPr>
      <w:r>
        <w:separator/>
      </w:r>
    </w:p>
  </w:endnote>
  <w:endnote w:type="continuationSeparator" w:id="0">
    <w:p w14:paraId="798E8951" w14:textId="77777777" w:rsidR="004D3A49" w:rsidRDefault="004D3A49" w:rsidP="00B5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3F06" w14:textId="77777777" w:rsidR="00485781" w:rsidRDefault="00485781" w:rsidP="00485781">
    <w:pPr>
      <w:pStyle w:val="Rodap"/>
      <w:jc w:val="center"/>
      <w:rPr>
        <w:sz w:val="14"/>
      </w:rPr>
    </w:pPr>
    <w:r>
      <w:rPr>
        <w:sz w:val="14"/>
      </w:rPr>
      <w:t xml:space="preserve">Praça Fonseca Ramos, s/nº - 4º andar - </w:t>
    </w:r>
    <w:r>
      <w:rPr>
        <w:sz w:val="14"/>
      </w:rPr>
      <w:br/>
      <w:t>Rodoviária Governador Roberto Silveira – Centro – Niterói – RJ.</w:t>
    </w:r>
  </w:p>
  <w:p w14:paraId="27DFC6C3" w14:textId="77777777" w:rsidR="00485781" w:rsidRDefault="00485781">
    <w:pPr>
      <w:pStyle w:val="Rodap"/>
    </w:pPr>
  </w:p>
  <w:p w14:paraId="4ED8EACD" w14:textId="77777777" w:rsidR="00485781" w:rsidRDefault="004857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4706D" w14:textId="77777777" w:rsidR="004D3A49" w:rsidRDefault="004D3A49" w:rsidP="00B529F1">
      <w:pPr>
        <w:spacing w:after="0" w:line="240" w:lineRule="auto"/>
      </w:pPr>
      <w:r>
        <w:separator/>
      </w:r>
    </w:p>
  </w:footnote>
  <w:footnote w:type="continuationSeparator" w:id="0">
    <w:p w14:paraId="008F4E90" w14:textId="77777777" w:rsidR="004D3A49" w:rsidRDefault="004D3A49" w:rsidP="00B5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8D998" w14:textId="0FA421BF" w:rsidR="00485781" w:rsidRDefault="008963F1" w:rsidP="00485781">
    <w:pPr>
      <w:pStyle w:val="Cabealho"/>
      <w:jc w:val="center"/>
    </w:pPr>
    <w:r>
      <w:rPr>
        <w:noProof/>
        <w:color w:val="000000"/>
        <w:lang w:eastAsia="pt-BR"/>
      </w:rPr>
      <w:drawing>
        <wp:inline distT="0" distB="0" distL="0" distR="0" wp14:anchorId="26AF60F3" wp14:editId="23D597D9">
          <wp:extent cx="4219575" cy="828675"/>
          <wp:effectExtent l="0" t="0" r="9525" b="9525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95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3077DC" w14:textId="77777777" w:rsidR="00485781" w:rsidRDefault="004857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14F8"/>
    <w:multiLevelType w:val="multilevel"/>
    <w:tmpl w:val="52EA550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BA0182"/>
    <w:multiLevelType w:val="multilevel"/>
    <w:tmpl w:val="3E2EF74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202D43"/>
    <w:multiLevelType w:val="multilevel"/>
    <w:tmpl w:val="36A0F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96"/>
    <w:rsid w:val="00014EC8"/>
    <w:rsid w:val="00032EB0"/>
    <w:rsid w:val="0004445C"/>
    <w:rsid w:val="00050D7B"/>
    <w:rsid w:val="000B180A"/>
    <w:rsid w:val="001220B2"/>
    <w:rsid w:val="00135E27"/>
    <w:rsid w:val="00157A4A"/>
    <w:rsid w:val="00163825"/>
    <w:rsid w:val="001B3CCA"/>
    <w:rsid w:val="001D08F1"/>
    <w:rsid w:val="001D183E"/>
    <w:rsid w:val="001F2635"/>
    <w:rsid w:val="00215F11"/>
    <w:rsid w:val="002554D1"/>
    <w:rsid w:val="00267062"/>
    <w:rsid w:val="002773A4"/>
    <w:rsid w:val="0029067E"/>
    <w:rsid w:val="002A0620"/>
    <w:rsid w:val="002A6FD4"/>
    <w:rsid w:val="002C0AB2"/>
    <w:rsid w:val="002C7726"/>
    <w:rsid w:val="002E20A4"/>
    <w:rsid w:val="003258C6"/>
    <w:rsid w:val="00332D11"/>
    <w:rsid w:val="00350F00"/>
    <w:rsid w:val="00354581"/>
    <w:rsid w:val="003B5D4D"/>
    <w:rsid w:val="00410367"/>
    <w:rsid w:val="0044147F"/>
    <w:rsid w:val="00445D1D"/>
    <w:rsid w:val="004802C6"/>
    <w:rsid w:val="00485781"/>
    <w:rsid w:val="004D3A49"/>
    <w:rsid w:val="00502B60"/>
    <w:rsid w:val="005114C9"/>
    <w:rsid w:val="00532899"/>
    <w:rsid w:val="00597D35"/>
    <w:rsid w:val="005A00E3"/>
    <w:rsid w:val="005C113D"/>
    <w:rsid w:val="00601760"/>
    <w:rsid w:val="0061483A"/>
    <w:rsid w:val="00620821"/>
    <w:rsid w:val="00630AEF"/>
    <w:rsid w:val="006537C6"/>
    <w:rsid w:val="0065495E"/>
    <w:rsid w:val="00656E3B"/>
    <w:rsid w:val="00671668"/>
    <w:rsid w:val="0069370D"/>
    <w:rsid w:val="006F352B"/>
    <w:rsid w:val="00725215"/>
    <w:rsid w:val="00770C40"/>
    <w:rsid w:val="00782373"/>
    <w:rsid w:val="00787497"/>
    <w:rsid w:val="007A4D0C"/>
    <w:rsid w:val="007A637C"/>
    <w:rsid w:val="007B7522"/>
    <w:rsid w:val="007C64D2"/>
    <w:rsid w:val="007D2E0C"/>
    <w:rsid w:val="008862CF"/>
    <w:rsid w:val="008963F1"/>
    <w:rsid w:val="0090598C"/>
    <w:rsid w:val="00915E14"/>
    <w:rsid w:val="009547C4"/>
    <w:rsid w:val="00977B64"/>
    <w:rsid w:val="0098313C"/>
    <w:rsid w:val="00986FC0"/>
    <w:rsid w:val="0099029E"/>
    <w:rsid w:val="009A44F7"/>
    <w:rsid w:val="009B6BF3"/>
    <w:rsid w:val="00A23C72"/>
    <w:rsid w:val="00A3227A"/>
    <w:rsid w:val="00AA137C"/>
    <w:rsid w:val="00AB6975"/>
    <w:rsid w:val="00AE02AD"/>
    <w:rsid w:val="00AF328E"/>
    <w:rsid w:val="00B11AAE"/>
    <w:rsid w:val="00B232A1"/>
    <w:rsid w:val="00B24A25"/>
    <w:rsid w:val="00B25013"/>
    <w:rsid w:val="00B529F1"/>
    <w:rsid w:val="00BA0311"/>
    <w:rsid w:val="00BA04C3"/>
    <w:rsid w:val="00BB3AF5"/>
    <w:rsid w:val="00C165C6"/>
    <w:rsid w:val="00C5067C"/>
    <w:rsid w:val="00C511D1"/>
    <w:rsid w:val="00C61472"/>
    <w:rsid w:val="00C72831"/>
    <w:rsid w:val="00C9718B"/>
    <w:rsid w:val="00CB7A3D"/>
    <w:rsid w:val="00CC3996"/>
    <w:rsid w:val="00CF5E7D"/>
    <w:rsid w:val="00D20175"/>
    <w:rsid w:val="00D208B7"/>
    <w:rsid w:val="00D36D2B"/>
    <w:rsid w:val="00D445CA"/>
    <w:rsid w:val="00D81E7C"/>
    <w:rsid w:val="00D86DD3"/>
    <w:rsid w:val="00D93696"/>
    <w:rsid w:val="00DD6BA5"/>
    <w:rsid w:val="00E062BC"/>
    <w:rsid w:val="00E14103"/>
    <w:rsid w:val="00E1441C"/>
    <w:rsid w:val="00E2066D"/>
    <w:rsid w:val="00E23AF1"/>
    <w:rsid w:val="00EA38FE"/>
    <w:rsid w:val="00EB55ED"/>
    <w:rsid w:val="00EE2384"/>
    <w:rsid w:val="00EE5E93"/>
    <w:rsid w:val="00EF1775"/>
    <w:rsid w:val="00EF39F3"/>
    <w:rsid w:val="00EF68F7"/>
    <w:rsid w:val="00F05A3B"/>
    <w:rsid w:val="00F22114"/>
    <w:rsid w:val="00F77F15"/>
    <w:rsid w:val="00F846FB"/>
    <w:rsid w:val="00FB174C"/>
    <w:rsid w:val="00FF2685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989C6A"/>
  <w15:docId w15:val="{5C975CF6-E7E5-4FFB-A251-EEE1A327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2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9F1"/>
  </w:style>
  <w:style w:type="paragraph" w:styleId="Rodap">
    <w:name w:val="footer"/>
    <w:basedOn w:val="Normal"/>
    <w:link w:val="RodapChar"/>
    <w:unhideWhenUsed/>
    <w:rsid w:val="00B52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529F1"/>
  </w:style>
  <w:style w:type="character" w:styleId="Hyperlink">
    <w:name w:val="Hyperlink"/>
    <w:basedOn w:val="Fontepargpadro"/>
    <w:uiPriority w:val="99"/>
    <w:semiHidden/>
    <w:unhideWhenUsed/>
    <w:rsid w:val="00B529F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4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EEC9-317E-43F8-A9D5-1A58DC38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Lima de Abreu</dc:creator>
  <cp:lastModifiedBy>Carolina Lima de Abreu</cp:lastModifiedBy>
  <cp:revision>23</cp:revision>
  <cp:lastPrinted>2021-02-10T21:34:00Z</cp:lastPrinted>
  <dcterms:created xsi:type="dcterms:W3CDTF">2021-02-10T21:34:00Z</dcterms:created>
  <dcterms:modified xsi:type="dcterms:W3CDTF">2021-07-13T18:21:00Z</dcterms:modified>
</cp:coreProperties>
</file>